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spacing w:after="120" w:before="240"/>
        <w:jc w:val="center"/>
      </w:pPr>
      <w:r>
        <w:rPr/>
        <w:t>Que lire ?</w:t>
      </w:r>
    </w:p>
    <w:p>
      <w:pPr>
        <w:pStyle w:val="style0"/>
        <w:spacing w:after="0" w:before="0" w:line="100" w:lineRule="atLeast"/>
        <w:jc w:val="both"/>
      </w:pPr>
      <w:r>
        <w:rPr/>
        <w:t>La littérature comparée s’intéresse à toutes les littératures, traduites ou non, anciennes ou contemporaines. Il est évident cependant que la connaissance de certaines œuvres littéraires de référence est vivement recommandée :</w:t>
      </w:r>
    </w:p>
    <w:p>
      <w:pPr>
        <w:pStyle w:val="style23"/>
        <w:numPr>
          <w:ilvl w:val="0"/>
          <w:numId w:val="3"/>
        </w:numPr>
        <w:spacing w:after="0" w:before="0" w:line="100" w:lineRule="atLeast"/>
        <w:jc w:val="both"/>
      </w:pPr>
      <w:r>
        <w:rPr/>
        <w:t>Les œuvres des littératures grecque et latine, celles d’Homère, Sophocle, Euripide… celles de Virgile, Horace ou Ovide</w:t>
      </w:r>
    </w:p>
    <w:p>
      <w:pPr>
        <w:pStyle w:val="style23"/>
        <w:numPr>
          <w:ilvl w:val="0"/>
          <w:numId w:val="3"/>
        </w:numPr>
        <w:spacing w:after="0" w:before="0" w:line="100" w:lineRule="atLeast"/>
        <w:jc w:val="both"/>
      </w:pPr>
      <w:r>
        <w:rPr/>
        <w:t>Les classiques de la littérature française qui sont étudiés dans le secondaire du XVI</w:t>
      </w:r>
      <w:r>
        <w:rPr>
          <w:vertAlign w:val="superscript"/>
        </w:rPr>
        <w:t>e</w:t>
      </w:r>
      <w:r>
        <w:rPr/>
        <w:t xml:space="preserve"> siècle à nos jours</w:t>
      </w:r>
    </w:p>
    <w:p>
      <w:pPr>
        <w:pStyle w:val="style23"/>
        <w:numPr>
          <w:ilvl w:val="0"/>
          <w:numId w:val="3"/>
        </w:numPr>
        <w:spacing w:after="0" w:before="0" w:line="100" w:lineRule="atLeast"/>
        <w:jc w:val="both"/>
      </w:pPr>
      <w:r>
        <w:rPr/>
        <w:t>Les classiques de la littérature européenne comme les œuvres de Shakespeare, de Cervantès, de Dante, de Goethe…</w:t>
      </w:r>
    </w:p>
    <w:p>
      <w:pPr>
        <w:pStyle w:val="style23"/>
        <w:numPr>
          <w:ilvl w:val="0"/>
          <w:numId w:val="3"/>
        </w:numPr>
        <w:spacing w:after="0" w:before="0" w:line="100" w:lineRule="atLeast"/>
        <w:jc w:val="both"/>
      </w:pPr>
      <w:r>
        <w:rPr/>
        <w:t>Les classiques d’autres littératures en langue originale ou en traduction (littérature arabe, chinoise, russe…)</w:t>
      </w:r>
    </w:p>
    <w:p>
      <w:pPr>
        <w:pStyle w:val="style0"/>
        <w:spacing w:after="0" w:before="0" w:line="100" w:lineRule="atLeast"/>
        <w:jc w:val="both"/>
      </w:pPr>
      <w:r>
        <w:rPr/>
        <w:t>Cette première bibliographie indicative forme le socle des études comparatistes  que les programmes complètent tout au long des trois années de licence.</w:t>
      </w:r>
    </w:p>
    <w:p>
      <w:pPr>
        <w:pStyle w:val="style0"/>
        <w:spacing w:after="0" w:before="0" w:line="100" w:lineRule="atLeast"/>
        <w:jc w:val="both"/>
      </w:pPr>
      <w:r>
        <w:rPr/>
      </w:r>
    </w:p>
    <w:p>
      <w:pPr>
        <w:pStyle w:val="style0"/>
        <w:spacing w:after="0" w:before="0" w:line="100" w:lineRule="atLeast"/>
        <w:jc w:val="both"/>
      </w:pPr>
      <w:r>
        <w:rPr/>
        <w:t>Du côté du guide des études…</w:t>
      </w:r>
    </w:p>
    <w:p>
      <w:pPr>
        <w:pStyle w:val="style0"/>
        <w:spacing w:after="0" w:before="0" w:line="100" w:lineRule="atLeast"/>
        <w:jc w:val="both"/>
      </w:pPr>
      <w:r>
        <w:rPr/>
        <w:t>Avant d’entrer à l’université, et pour se faire une idée de ce qu’est la littérature comparée, il est intéressant de consulter le guide des études des licences pour voir quels sont les programmes proposés. On trouvera quelques exemples de programmes comparatistes :</w:t>
      </w:r>
    </w:p>
    <w:p>
      <w:pPr>
        <w:pStyle w:val="style23"/>
        <w:numPr>
          <w:ilvl w:val="0"/>
          <w:numId w:val="2"/>
        </w:numPr>
        <w:spacing w:after="0" w:before="0" w:line="100" w:lineRule="atLeast"/>
        <w:jc w:val="both"/>
      </w:pPr>
      <w:r>
        <w:rPr/>
        <w:t>Le théâtre dans le théâtre</w:t>
      </w:r>
    </w:p>
    <w:p>
      <w:pPr>
        <w:pStyle w:val="style0"/>
        <w:spacing w:after="0" w:before="0" w:line="100" w:lineRule="atLeast"/>
        <w:jc w:val="both"/>
      </w:pPr>
      <w:r>
        <w:rPr/>
        <w:t xml:space="preserve">Responsables : Alison Boulanger et Catherine Dumas </w:t>
      </w:r>
    </w:p>
    <w:p>
      <w:pPr>
        <w:pStyle w:val="style0"/>
        <w:spacing w:after="0" w:before="0" w:line="100" w:lineRule="atLeast"/>
        <w:jc w:val="both"/>
      </w:pPr>
      <w:r>
        <w:rPr/>
        <w:t>Œuvres :</w:t>
      </w:r>
    </w:p>
    <w:p>
      <w:pPr>
        <w:pStyle w:val="style0"/>
        <w:spacing w:after="0" w:before="0" w:line="100" w:lineRule="atLeast"/>
        <w:jc w:val="both"/>
      </w:pPr>
      <w:r>
        <w:rPr/>
        <w:t xml:space="preserve">Shakespeare, </w:t>
      </w:r>
      <w:r>
        <w:rPr>
          <w:i/>
        </w:rPr>
        <w:t>Le Songe d'une Nuit d'été</w:t>
      </w:r>
      <w:r>
        <w:rPr/>
        <w:t>, édition bilingue, traduction par Jean-Michel Déprats, Paris, Gallimard [Folio Théâtre], 2003</w:t>
      </w:r>
    </w:p>
    <w:p>
      <w:pPr>
        <w:pStyle w:val="style0"/>
        <w:spacing w:after="0" w:before="0" w:line="100" w:lineRule="atLeast"/>
        <w:jc w:val="both"/>
      </w:pPr>
      <w:r>
        <w:rPr/>
        <w:t xml:space="preserve">Pierre Corneille, </w:t>
      </w:r>
      <w:r>
        <w:rPr>
          <w:i/>
        </w:rPr>
        <w:t>L'Illusion comique</w:t>
      </w:r>
      <w:r>
        <w:rPr/>
        <w:t>, présentation critique par Georges Forestier, Paris, Libraire générale française [Le livre de poche], 1999</w:t>
      </w:r>
    </w:p>
    <w:p>
      <w:pPr>
        <w:pStyle w:val="style0"/>
        <w:spacing w:after="0" w:before="0" w:line="100" w:lineRule="atLeast"/>
        <w:jc w:val="both"/>
      </w:pPr>
      <w:r>
        <w:rPr/>
        <w:t xml:space="preserve">Calderón, </w:t>
      </w:r>
      <w:r>
        <w:rPr>
          <w:i/>
        </w:rPr>
        <w:t>Le Grand Théâtre du monde</w:t>
      </w:r>
      <w:r>
        <w:rPr/>
        <w:t>, édition bilingue, présentation et traduction par François Bonfils, Paris, GF Flammarion, 2003</w:t>
      </w:r>
    </w:p>
    <w:p>
      <w:pPr>
        <w:pStyle w:val="style0"/>
        <w:spacing w:after="0" w:before="0" w:line="100" w:lineRule="atLeast"/>
        <w:jc w:val="both"/>
      </w:pPr>
      <w:r>
        <w:rPr/>
        <w:t xml:space="preserve">Rotrou, </w:t>
      </w:r>
      <w:r>
        <w:rPr>
          <w:i/>
        </w:rPr>
        <w:t>Le Véritable Saint Genest</w:t>
      </w:r>
      <w:r>
        <w:rPr/>
        <w:t>, présentation critique par Emmanuelle Hénin et François Bonfils, Paris, GF</w:t>
      </w:r>
    </w:p>
    <w:p>
      <w:pPr>
        <w:pStyle w:val="style23"/>
        <w:numPr>
          <w:ilvl w:val="0"/>
          <w:numId w:val="2"/>
        </w:numPr>
        <w:spacing w:after="0" w:before="0" w:line="100" w:lineRule="atLeast"/>
        <w:jc w:val="both"/>
      </w:pPr>
      <w:r>
        <w:rPr/>
        <w:t>Quand l’Europe écrivait des lettres </w:t>
      </w:r>
    </w:p>
    <w:p>
      <w:pPr>
        <w:pStyle w:val="style0"/>
        <w:spacing w:after="0" w:before="0" w:line="100" w:lineRule="atLeast"/>
        <w:jc w:val="both"/>
      </w:pPr>
      <w:r>
        <w:rPr/>
        <w:t>Responsable : Fiona Mc Intosh</w:t>
      </w:r>
    </w:p>
    <w:p>
      <w:pPr>
        <w:pStyle w:val="style0"/>
        <w:spacing w:after="0" w:before="0" w:line="100" w:lineRule="atLeast"/>
        <w:jc w:val="both"/>
      </w:pPr>
      <w:r>
        <w:rPr/>
        <w:t>Œuvres :</w:t>
      </w:r>
    </w:p>
    <w:p>
      <w:pPr>
        <w:pStyle w:val="style0"/>
        <w:spacing w:after="0" w:before="0" w:line="100" w:lineRule="atLeast"/>
        <w:jc w:val="both"/>
      </w:pPr>
      <w:r>
        <w:rPr>
          <w:i/>
        </w:rPr>
        <w:t>Lettres à Lucilius</w:t>
      </w:r>
      <w:r>
        <w:rPr/>
        <w:t xml:space="preserve"> de Sénèque </w:t>
      </w:r>
    </w:p>
    <w:p>
      <w:pPr>
        <w:pStyle w:val="style0"/>
        <w:spacing w:after="0" w:before="0" w:line="100" w:lineRule="atLeast"/>
        <w:jc w:val="both"/>
      </w:pPr>
      <w:r>
        <w:rPr>
          <w:i/>
        </w:rPr>
        <w:t>Lettres</w:t>
      </w:r>
      <w:r>
        <w:rPr/>
        <w:t xml:space="preserve"> de Pline</w:t>
      </w:r>
    </w:p>
    <w:p>
      <w:pPr>
        <w:pStyle w:val="style0"/>
        <w:spacing w:after="0" w:before="0" w:line="100" w:lineRule="atLeast"/>
        <w:jc w:val="both"/>
      </w:pPr>
      <w:r>
        <w:rPr>
          <w:i/>
        </w:rPr>
        <w:t>Lettres d'une religieuse portugaise</w:t>
      </w:r>
      <w:r>
        <w:rPr/>
        <w:t xml:space="preserve">, </w:t>
      </w:r>
    </w:p>
    <w:p>
      <w:pPr>
        <w:pStyle w:val="style0"/>
        <w:spacing w:after="0" w:before="0" w:line="100" w:lineRule="atLeast"/>
        <w:jc w:val="both"/>
      </w:pPr>
      <w:r>
        <w:rPr/>
        <w:t xml:space="preserve">Rousseau, </w:t>
      </w:r>
      <w:r>
        <w:rPr>
          <w:i/>
        </w:rPr>
        <w:t>La Nouvelle Héloïse</w:t>
      </w:r>
      <w:r>
        <w:rPr/>
        <w:t xml:space="preserve"> </w:t>
      </w:r>
    </w:p>
    <w:p>
      <w:pPr>
        <w:pStyle w:val="style0"/>
        <w:spacing w:after="0" w:before="0" w:line="100" w:lineRule="atLeast"/>
        <w:jc w:val="both"/>
      </w:pPr>
      <w:r>
        <w:rPr/>
        <w:t>Goethe</w:t>
      </w:r>
      <w:r>
        <w:rPr>
          <w:i/>
        </w:rPr>
        <w:t>, Les Souffrances du Jeune Werther</w:t>
      </w:r>
      <w:r>
        <w:rPr/>
        <w:t>, Garnier</w:t>
      </w:r>
    </w:p>
    <w:p>
      <w:pPr>
        <w:pStyle w:val="style0"/>
        <w:spacing w:after="0" w:before="0" w:line="100" w:lineRule="atLeast"/>
        <w:jc w:val="both"/>
      </w:pPr>
      <w:r>
        <w:rPr/>
        <w:t xml:space="preserve">Smollett, </w:t>
      </w:r>
      <w:r>
        <w:rPr>
          <w:i/>
        </w:rPr>
        <w:t xml:space="preserve">Les Aventures de Humphrey Clinker </w:t>
      </w:r>
    </w:p>
    <w:p>
      <w:pPr>
        <w:pStyle w:val="style0"/>
        <w:spacing w:after="0" w:before="0" w:line="100" w:lineRule="atLeast"/>
        <w:jc w:val="both"/>
      </w:pPr>
      <w:r>
        <w:rPr/>
        <w:t xml:space="preserve">Ugo Foscolo, </w:t>
      </w:r>
      <w:r>
        <w:rPr>
          <w:i/>
        </w:rPr>
        <w:t>Les Dernières Lettres de Jacopo Ortis</w:t>
      </w:r>
    </w:p>
    <w:p>
      <w:pPr>
        <w:pStyle w:val="style23"/>
        <w:numPr>
          <w:ilvl w:val="0"/>
          <w:numId w:val="2"/>
        </w:numPr>
        <w:spacing w:after="0" w:before="0" w:line="100" w:lineRule="atLeast"/>
        <w:jc w:val="both"/>
      </w:pPr>
      <w:r>
        <w:rPr/>
        <w:t>Lire Don Quichotte</w:t>
      </w:r>
    </w:p>
    <w:p>
      <w:pPr>
        <w:pStyle w:val="style0"/>
        <w:spacing w:after="0" w:before="0" w:line="100" w:lineRule="atLeast"/>
        <w:jc w:val="both"/>
      </w:pPr>
      <w:r>
        <w:rPr/>
        <w:t xml:space="preserve">Responsables : Emilie Picherot </w:t>
      </w:r>
    </w:p>
    <w:p>
      <w:pPr>
        <w:pStyle w:val="style0"/>
        <w:spacing w:after="0" w:before="0" w:line="100" w:lineRule="atLeast"/>
        <w:jc w:val="both"/>
      </w:pPr>
      <w:r>
        <w:rPr/>
        <w:t xml:space="preserve">Virgile, Les </w:t>
      </w:r>
      <w:r>
        <w:rPr>
          <w:i/>
        </w:rPr>
        <w:t>bucoliques</w:t>
      </w:r>
      <w:r>
        <w:rPr/>
        <w:t xml:space="preserve">, éd. bilingue, classiques en Poche, Les Belles Lettres </w:t>
      </w:r>
    </w:p>
    <w:p>
      <w:pPr>
        <w:pStyle w:val="style0"/>
        <w:spacing w:after="0" w:before="0" w:line="100" w:lineRule="atLeast"/>
        <w:jc w:val="both"/>
      </w:pPr>
      <w:r>
        <w:rPr/>
        <w:t xml:space="preserve">Chrétien de Troyes, </w:t>
      </w:r>
      <w:r>
        <w:rPr>
          <w:i/>
        </w:rPr>
        <w:t>Le conte du Graal</w:t>
      </w:r>
      <w:r>
        <w:rPr/>
        <w:t xml:space="preserve">, lettres gothiques, Le Livre de Poche </w:t>
      </w:r>
    </w:p>
    <w:p>
      <w:pPr>
        <w:pStyle w:val="style0"/>
        <w:spacing w:after="0" w:before="0" w:line="100" w:lineRule="atLeast"/>
        <w:jc w:val="both"/>
      </w:pPr>
      <w:r>
        <w:rPr/>
        <w:t xml:space="preserve">Cervantès, </w:t>
      </w:r>
      <w:r>
        <w:rPr>
          <w:i/>
        </w:rPr>
        <w:t>Don Quichotte</w:t>
      </w:r>
      <w:r>
        <w:rPr/>
        <w:t>,  trad. Canavaggio, Folio</w:t>
      </w:r>
    </w:p>
    <w:p>
      <w:pPr>
        <w:pStyle w:val="style0"/>
        <w:spacing w:after="0" w:before="0" w:line="100" w:lineRule="atLeast"/>
        <w:jc w:val="both"/>
      </w:pPr>
      <w:r>
        <w:rPr/>
        <w:t xml:space="preserve">Diderot, </w:t>
      </w:r>
      <w:r>
        <w:rPr>
          <w:i/>
        </w:rPr>
        <w:t>Jacques le Fataliste</w:t>
      </w:r>
      <w:r>
        <w:rPr/>
        <w:t>, GF</w:t>
      </w:r>
    </w:p>
    <w:p>
      <w:pPr>
        <w:pStyle w:val="style0"/>
        <w:spacing w:after="0" w:before="0" w:line="100" w:lineRule="atLeast"/>
        <w:jc w:val="both"/>
      </w:pPr>
      <w:r>
        <w:rPr/>
        <w:t xml:space="preserve">Sterne, </w:t>
      </w:r>
      <w:r>
        <w:rPr>
          <w:i/>
        </w:rPr>
        <w:t>Vie et opinions de Tristram Shandy</w:t>
      </w:r>
      <w:r>
        <w:rPr/>
        <w:t>, GF</w:t>
      </w:r>
    </w:p>
    <w:p>
      <w:pPr>
        <w:pStyle w:val="style23"/>
        <w:numPr>
          <w:ilvl w:val="0"/>
          <w:numId w:val="2"/>
        </w:numPr>
        <w:spacing w:after="0" w:before="0" w:line="100" w:lineRule="atLeast"/>
        <w:jc w:val="both"/>
      </w:pPr>
      <w:r>
        <w:rPr/>
        <w:t>Le roman historique</w:t>
      </w:r>
    </w:p>
    <w:p>
      <w:pPr>
        <w:pStyle w:val="style0"/>
        <w:spacing w:after="0" w:before="0" w:line="100" w:lineRule="atLeast"/>
        <w:jc w:val="both"/>
      </w:pPr>
      <w:r>
        <w:rPr/>
        <w:t>Responsable : Fiona Mc Intosh</w:t>
      </w:r>
    </w:p>
    <w:p>
      <w:pPr>
        <w:pStyle w:val="style0"/>
        <w:spacing w:after="0" w:before="0" w:line="100" w:lineRule="atLeast"/>
        <w:jc w:val="both"/>
      </w:pPr>
      <w:r>
        <w:rPr/>
        <w:t xml:space="preserve">Walter Scott, </w:t>
      </w:r>
      <w:r>
        <w:rPr>
          <w:i/>
        </w:rPr>
        <w:t>Ivanhoe</w:t>
      </w:r>
      <w:r>
        <w:rPr/>
        <w:t xml:space="preserve">, éd. Suhamy, Gallimard, Folio, 2016 </w:t>
      </w:r>
    </w:p>
    <w:p>
      <w:pPr>
        <w:pStyle w:val="style0"/>
        <w:spacing w:after="0" w:before="0" w:line="100" w:lineRule="atLeast"/>
        <w:jc w:val="both"/>
      </w:pPr>
      <w:r>
        <w:rPr/>
        <w:t xml:space="preserve">Alexandre Dumas, </w:t>
      </w:r>
      <w:r>
        <w:rPr>
          <w:i/>
        </w:rPr>
        <w:t>Robin des Bois, le prince des voleurs et Robin Hood le proscrit</w:t>
      </w:r>
      <w:r>
        <w:rPr/>
        <w:t>, Omnia, 2010</w:t>
      </w:r>
    </w:p>
    <w:p>
      <w:pPr>
        <w:pStyle w:val="style0"/>
        <w:spacing w:after="0" w:before="0" w:line="100" w:lineRule="atLeast"/>
        <w:jc w:val="both"/>
      </w:pPr>
      <w:r>
        <w:rPr/>
        <w:t xml:space="preserve">Évelyne Brisou-Pellen, </w:t>
      </w:r>
      <w:r>
        <w:rPr>
          <w:i/>
        </w:rPr>
        <w:t>Ysée 2 Les Diamants bleus</w:t>
      </w:r>
      <w:r>
        <w:rPr/>
        <w:t>, Bayard Jeunesse, 2011</w:t>
      </w:r>
    </w:p>
    <w:p>
      <w:pPr>
        <w:pStyle w:val="style23"/>
        <w:numPr>
          <w:ilvl w:val="0"/>
          <w:numId w:val="2"/>
        </w:numPr>
        <w:spacing w:after="0" w:before="0" w:line="100" w:lineRule="atLeast"/>
        <w:jc w:val="both"/>
      </w:pPr>
      <w:r>
        <w:rPr/>
        <w:t>Littérature et musique</w:t>
      </w:r>
    </w:p>
    <w:p>
      <w:pPr>
        <w:pStyle w:val="style0"/>
        <w:spacing w:after="0" w:before="0" w:line="100" w:lineRule="atLeast"/>
        <w:jc w:val="both"/>
      </w:pPr>
      <w:r>
        <w:rPr/>
        <w:t>Responsable : Jessica Wilker</w:t>
      </w:r>
    </w:p>
    <w:p>
      <w:pPr>
        <w:pStyle w:val="style0"/>
        <w:spacing w:after="0" w:before="0" w:line="100" w:lineRule="atLeast"/>
        <w:jc w:val="both"/>
      </w:pPr>
      <w:r>
        <w:rPr/>
        <w:t>Œuvres :</w:t>
      </w:r>
    </w:p>
    <w:p>
      <w:pPr>
        <w:pStyle w:val="style0"/>
        <w:spacing w:after="0" w:before="0" w:line="100" w:lineRule="atLeast"/>
        <w:jc w:val="both"/>
      </w:pPr>
      <w:r>
        <w:rPr/>
        <w:t xml:space="preserve">Oscar Wilde, </w:t>
      </w:r>
      <w:r>
        <w:rPr>
          <w:i/>
        </w:rPr>
        <w:t>Contes et récits</w:t>
      </w:r>
      <w:r>
        <w:rPr/>
        <w:t>, éd. Le Livre de poche</w:t>
      </w:r>
    </w:p>
    <w:p>
      <w:pPr>
        <w:pStyle w:val="style0"/>
        <w:spacing w:after="0" w:before="0" w:line="100" w:lineRule="atLeast"/>
        <w:jc w:val="both"/>
      </w:pPr>
      <w:r>
        <w:rPr/>
        <w:t xml:space="preserve">Paul Valéry, </w:t>
      </w:r>
      <w:r>
        <w:rPr>
          <w:i/>
        </w:rPr>
        <w:t>Philosophie de la danse</w:t>
      </w:r>
      <w:r>
        <w:rPr/>
        <w:t>, éd. Allia.</w:t>
      </w:r>
    </w:p>
    <w:p>
      <w:pPr>
        <w:pStyle w:val="style23"/>
        <w:numPr>
          <w:ilvl w:val="0"/>
          <w:numId w:val="2"/>
        </w:numPr>
        <w:spacing w:after="0" w:before="0" w:line="100" w:lineRule="atLeast"/>
        <w:jc w:val="both"/>
      </w:pPr>
      <w:r>
        <w:rPr/>
        <w:t>Littérature contemporaine</w:t>
      </w:r>
    </w:p>
    <w:p>
      <w:pPr>
        <w:pStyle w:val="style0"/>
        <w:spacing w:after="0" w:before="0" w:line="100" w:lineRule="atLeast"/>
        <w:jc w:val="both"/>
      </w:pPr>
      <w:r>
        <w:rPr/>
        <w:t>Responsable : Alison Boulanger</w:t>
      </w:r>
    </w:p>
    <w:p>
      <w:pPr>
        <w:pStyle w:val="style0"/>
        <w:spacing w:after="0" w:before="0" w:line="100" w:lineRule="atLeast"/>
        <w:jc w:val="both"/>
      </w:pPr>
      <w:r>
        <w:rPr/>
        <w:t>Œuvres :</w:t>
      </w:r>
    </w:p>
    <w:p>
      <w:pPr>
        <w:pStyle w:val="style0"/>
        <w:spacing w:after="0" w:before="0" w:line="100" w:lineRule="atLeast"/>
        <w:jc w:val="both"/>
      </w:pPr>
      <w:r>
        <w:rPr/>
        <w:t>Imre Kertész</w:t>
      </w:r>
      <w:r>
        <w:rPr>
          <w:i/>
        </w:rPr>
        <w:t>, Le refus</w:t>
      </w:r>
      <w:r>
        <w:rPr/>
        <w:t xml:space="preserve">, traduit du hongrois par Natalia Zaremba-Huzsvai et Charles Zaremba, Arles, Actes Sud [Babel], 2001 </w:t>
      </w:r>
    </w:p>
    <w:p>
      <w:pPr>
        <w:pStyle w:val="style0"/>
        <w:spacing w:after="0" w:before="0" w:line="100" w:lineRule="atLeast"/>
        <w:jc w:val="both"/>
      </w:pPr>
      <w:r>
        <w:rPr/>
        <w:t xml:space="preserve">Hanna Krall, </w:t>
      </w:r>
      <w:r>
        <w:rPr>
          <w:i/>
        </w:rPr>
        <w:t>Le roi de cœur</w:t>
      </w:r>
      <w:r>
        <w:rPr/>
        <w:t xml:space="preserve">, traduit du polonais par Margot Carlier, Paris, Gallimard [nrf], 2008 W.G. </w:t>
      </w:r>
    </w:p>
    <w:p>
      <w:pPr>
        <w:pStyle w:val="style0"/>
        <w:spacing w:after="0" w:before="0" w:line="100" w:lineRule="atLeast"/>
        <w:jc w:val="both"/>
      </w:pPr>
      <w:r>
        <w:rPr/>
        <w:t xml:space="preserve">Sebald, </w:t>
      </w:r>
      <w:r>
        <w:rPr>
          <w:i/>
        </w:rPr>
        <w:t>Austerlitz</w:t>
      </w:r>
      <w:r>
        <w:rPr/>
        <w:t>, traduit de l’allemand par Patrick Charbonneau, Paris, Gallimard [Folio], 2002</w:t>
      </w:r>
    </w:p>
    <w:p>
      <w:pPr>
        <w:pStyle w:val="style23"/>
        <w:numPr>
          <w:ilvl w:val="0"/>
          <w:numId w:val="2"/>
        </w:numPr>
        <w:spacing w:after="0" w:before="0" w:line="100" w:lineRule="atLeast"/>
        <w:jc w:val="both"/>
      </w:pPr>
      <w:r>
        <w:rPr/>
        <w:t>Le sonnet, une forme poétique européenne</w:t>
      </w:r>
    </w:p>
    <w:p>
      <w:pPr>
        <w:pStyle w:val="style0"/>
        <w:spacing w:after="0" w:before="0" w:line="100" w:lineRule="atLeast"/>
        <w:jc w:val="both"/>
      </w:pPr>
      <w:r>
        <w:rPr/>
        <w:t>Responsable : Jessica Wilker</w:t>
      </w:r>
    </w:p>
    <w:p>
      <w:pPr>
        <w:pStyle w:val="style0"/>
        <w:spacing w:after="0" w:before="0" w:line="100" w:lineRule="atLeast"/>
        <w:jc w:val="both"/>
      </w:pPr>
      <w:r>
        <w:rPr/>
        <w:t>Œuvre :</w:t>
      </w:r>
    </w:p>
    <w:p>
      <w:pPr>
        <w:pStyle w:val="style0"/>
        <w:spacing w:after="0" w:before="0" w:line="100" w:lineRule="atLeast"/>
        <w:jc w:val="both"/>
      </w:pPr>
      <w:r>
        <w:rPr/>
        <w:t xml:space="preserve">Le </w:t>
      </w:r>
      <w:r>
        <w:rPr>
          <w:i/>
        </w:rPr>
        <w:t>sonnet</w:t>
      </w:r>
      <w:r>
        <w:rPr/>
        <w:t>, éditée par Dominique Moncond’huy, éd. folio (folioplus/classiques)</w:t>
      </w:r>
    </w:p>
    <w:p>
      <w:pPr>
        <w:pStyle w:val="style23"/>
        <w:numPr>
          <w:ilvl w:val="0"/>
          <w:numId w:val="2"/>
        </w:numPr>
        <w:spacing w:after="0" w:before="0" w:line="100" w:lineRule="atLeast"/>
        <w:jc w:val="both"/>
      </w:pPr>
      <w:r>
        <w:rPr/>
        <w:t>Aspects socio-culturels de la littérature</w:t>
      </w:r>
    </w:p>
    <w:p>
      <w:pPr>
        <w:pStyle w:val="style0"/>
        <w:spacing w:after="0" w:before="0" w:line="100" w:lineRule="atLeast"/>
        <w:jc w:val="both"/>
      </w:pPr>
      <w:r>
        <w:rPr/>
        <w:t>Responsable : Karl Zieger</w:t>
      </w:r>
    </w:p>
    <w:p>
      <w:pPr>
        <w:pStyle w:val="style0"/>
        <w:spacing w:after="0" w:before="0" w:line="100" w:lineRule="atLeast"/>
        <w:jc w:val="both"/>
      </w:pPr>
      <w:r>
        <w:rPr/>
        <w:t xml:space="preserve">Œuvres : </w:t>
      </w:r>
    </w:p>
    <w:p>
      <w:pPr>
        <w:pStyle w:val="style0"/>
        <w:spacing w:after="0" w:before="0" w:line="100" w:lineRule="atLeast"/>
        <w:jc w:val="both"/>
      </w:pPr>
      <w:r>
        <w:rPr/>
        <w:t xml:space="preserve">Bibliographie critique : </w:t>
      </w:r>
    </w:p>
    <w:p>
      <w:pPr>
        <w:pStyle w:val="style0"/>
        <w:spacing w:after="0" w:before="0" w:line="100" w:lineRule="atLeast"/>
        <w:jc w:val="both"/>
      </w:pPr>
      <w:r>
        <w:rPr/>
        <w:t xml:space="preserve">Paul Dirkx, </w:t>
      </w:r>
      <w:r>
        <w:rPr>
          <w:i/>
        </w:rPr>
        <w:t>Sociologie de la littérature</w:t>
      </w:r>
      <w:r>
        <w:rPr/>
        <w:t>, Paris, Armand Colin, 2000 (coll. « Cursus – Lettres)</w:t>
      </w:r>
    </w:p>
    <w:p>
      <w:pPr>
        <w:pStyle w:val="style0"/>
        <w:spacing w:after="0" w:before="0" w:line="100" w:lineRule="atLeast"/>
        <w:jc w:val="both"/>
      </w:pPr>
      <w:r>
        <w:rPr/>
        <w:t xml:space="preserve">Albert Labarre, </w:t>
      </w:r>
      <w:r>
        <w:rPr>
          <w:i/>
        </w:rPr>
        <w:t>Histoire du livre</w:t>
      </w:r>
      <w:r>
        <w:rPr/>
        <w:t>, P., PUF, [1970], 8e éd. mise à jour, 2001 (= « Que sais-je ? », no. 620)</w:t>
      </w:r>
    </w:p>
    <w:p>
      <w:pPr>
        <w:pStyle w:val="style0"/>
        <w:spacing w:after="0" w:before="0" w:line="100" w:lineRule="atLeast"/>
        <w:jc w:val="both"/>
      </w:pPr>
      <w:r>
        <w:rPr/>
        <w:t xml:space="preserve">Jean-Yves Mollier et collectif, </w:t>
      </w:r>
      <w:r>
        <w:rPr>
          <w:i/>
        </w:rPr>
        <w:t>Où va le livre ?</w:t>
      </w:r>
      <w:r>
        <w:rPr/>
        <w:t>, P., La Dispute, 2007 (nouvelle édition, coll. « états des lieux »)</w:t>
      </w:r>
    </w:p>
    <w:p>
      <w:pPr>
        <w:pStyle w:val="style0"/>
        <w:spacing w:after="0" w:before="0" w:line="100" w:lineRule="atLeast"/>
        <w:jc w:val="both"/>
      </w:pPr>
      <w:r>
        <w:rPr/>
        <w:t xml:space="preserve">Élisabeth Parinet, </w:t>
      </w:r>
      <w:r>
        <w:rPr>
          <w:i/>
        </w:rPr>
        <w:t>Une histoire de l’édition à l’époque contemporaine. XIXe -XXe siècle</w:t>
      </w:r>
      <w:r>
        <w:rPr/>
        <w:t>, P., éditions du Seuil, 2004 (coll. « Points Histoire »)</w:t>
      </w:r>
    </w:p>
    <w:p>
      <w:pPr>
        <w:pStyle w:val="style0"/>
        <w:spacing w:after="0" w:before="0" w:line="100" w:lineRule="atLeast"/>
        <w:jc w:val="both"/>
      </w:pPr>
      <w:r>
        <w:rPr/>
        <w:t xml:space="preserve"> </w:t>
      </w:r>
      <w:r>
        <w:rPr/>
        <w:t xml:space="preserve">Littérature primaire (servant à illustrer les propos théoriques) : </w:t>
      </w:r>
    </w:p>
    <w:p>
      <w:pPr>
        <w:pStyle w:val="style0"/>
        <w:spacing w:after="0" w:before="0" w:line="100" w:lineRule="atLeast"/>
        <w:jc w:val="both"/>
      </w:pPr>
      <w:r>
        <w:rPr/>
        <w:t xml:space="preserve">Édouard Bourdet, </w:t>
      </w:r>
      <w:r>
        <w:rPr>
          <w:i/>
        </w:rPr>
        <w:t>Vient de paraître</w:t>
      </w:r>
      <w:r>
        <w:rPr/>
        <w:t xml:space="preserve">, P., Gallimard, 2004 (= « folio théâtre », no. 88) </w:t>
      </w:r>
    </w:p>
    <w:p>
      <w:pPr>
        <w:pStyle w:val="style0"/>
        <w:spacing w:after="0" w:before="0" w:line="100" w:lineRule="atLeast"/>
        <w:jc w:val="both"/>
      </w:pPr>
      <w:r>
        <w:rPr/>
        <w:t xml:space="preserve">Octave Mirbeau, </w:t>
      </w:r>
      <w:r>
        <w:rPr>
          <w:i/>
        </w:rPr>
        <w:t>Le Journal d’une femme de chambre</w:t>
      </w:r>
      <w:r>
        <w:rPr/>
        <w:t xml:space="preserve"> [1900], Gallimard, éd. Folio no. 1536 </w:t>
      </w:r>
    </w:p>
    <w:p>
      <w:pPr>
        <w:pStyle w:val="style0"/>
        <w:spacing w:after="0" w:before="0" w:line="100" w:lineRule="atLeast"/>
        <w:jc w:val="both"/>
      </w:pPr>
      <w:r>
        <w:rPr/>
        <w:t xml:space="preserve">Arthur Schnitzler, </w:t>
      </w:r>
      <w:r>
        <w:rPr>
          <w:i/>
        </w:rPr>
        <w:t xml:space="preserve">Thérèse </w:t>
      </w:r>
      <w:r>
        <w:rPr/>
        <w:t xml:space="preserve">[1928], traduit par Dominique Auclères, Livre de poche </w:t>
      </w:r>
    </w:p>
    <w:p>
      <w:pPr>
        <w:pStyle w:val="style23"/>
        <w:numPr>
          <w:ilvl w:val="0"/>
          <w:numId w:val="2"/>
        </w:numPr>
        <w:spacing w:after="0" w:before="0" w:line="100" w:lineRule="atLeast"/>
        <w:jc w:val="both"/>
      </w:pPr>
      <w:r>
        <w:rPr/>
        <w:t>Réécrire et parodier</w:t>
      </w:r>
    </w:p>
    <w:p>
      <w:pPr>
        <w:pStyle w:val="style0"/>
        <w:spacing w:after="0" w:before="0" w:line="100" w:lineRule="atLeast"/>
        <w:jc w:val="both"/>
      </w:pPr>
      <w:r>
        <w:rPr/>
        <w:t>Responsable : Jessica Wilker</w:t>
      </w:r>
    </w:p>
    <w:p>
      <w:pPr>
        <w:pStyle w:val="style0"/>
        <w:spacing w:after="0" w:before="0" w:line="100" w:lineRule="atLeast"/>
        <w:jc w:val="both"/>
      </w:pPr>
      <w:r>
        <w:rPr/>
        <w:t>Œuvres :</w:t>
      </w:r>
    </w:p>
    <w:p>
      <w:pPr>
        <w:pStyle w:val="style0"/>
        <w:spacing w:after="0" w:before="0" w:line="100" w:lineRule="atLeast"/>
        <w:jc w:val="both"/>
      </w:pPr>
      <w:r>
        <w:rPr/>
        <w:t xml:space="preserve">John Gay, </w:t>
      </w:r>
      <w:r>
        <w:rPr>
          <w:i/>
        </w:rPr>
        <w:t>L’Opéra des gueux</w:t>
      </w:r>
      <w:r>
        <w:rPr/>
        <w:t xml:space="preserve">, éd. L’Arche </w:t>
      </w:r>
    </w:p>
    <w:p>
      <w:pPr>
        <w:pStyle w:val="style0"/>
        <w:spacing w:after="0" w:before="0" w:line="100" w:lineRule="atLeast"/>
        <w:jc w:val="both"/>
      </w:pPr>
      <w:r>
        <w:rPr/>
        <w:t xml:space="preserve">Bertolt Brecht, </w:t>
      </w:r>
      <w:r>
        <w:rPr>
          <w:i/>
        </w:rPr>
        <w:t>L’Opéra de quat’sous</w:t>
      </w:r>
      <w:r>
        <w:rPr/>
        <w:t>, éd. L’Arche</w:t>
      </w:r>
      <w:r>
        <w:rPr>
          <w:i/>
        </w:rPr>
        <w:t xml:space="preserve"> </w:t>
      </w:r>
    </w:p>
    <w:p>
      <w:pPr>
        <w:pStyle w:val="style0"/>
        <w:spacing w:after="0" w:before="0" w:line="100" w:lineRule="atLeast"/>
        <w:jc w:val="both"/>
      </w:pPr>
      <w:r>
        <w:rPr/>
        <w:t>Frédéric Lordon</w:t>
      </w:r>
      <w:r>
        <w:rPr>
          <w:i/>
        </w:rPr>
        <w:t>, D’un retournement l’autre</w:t>
      </w:r>
      <w:r>
        <w:rPr/>
        <w:t>, éd. Points Essais</w:t>
      </w:r>
    </w:p>
    <w:p>
      <w:pPr>
        <w:pStyle w:val="style23"/>
        <w:numPr>
          <w:ilvl w:val="0"/>
          <w:numId w:val="2"/>
        </w:numPr>
        <w:spacing w:after="0" w:before="0" w:line="100" w:lineRule="atLeast"/>
        <w:jc w:val="both"/>
      </w:pPr>
      <w:r>
        <w:rPr>
          <w:i/>
        </w:rPr>
        <w:t>Ulysse</w:t>
      </w:r>
      <w:r>
        <w:rPr/>
        <w:t xml:space="preserve"> de Joyce, sources et réécriture</w:t>
      </w:r>
    </w:p>
    <w:p>
      <w:pPr>
        <w:pStyle w:val="style0"/>
        <w:spacing w:after="0" w:before="0" w:line="100" w:lineRule="atLeast"/>
        <w:jc w:val="both"/>
      </w:pPr>
      <w:r>
        <w:rPr/>
        <w:t>Responsable : Alison Boulanger</w:t>
      </w:r>
    </w:p>
    <w:p>
      <w:pPr>
        <w:pStyle w:val="style0"/>
        <w:spacing w:after="0" w:before="0" w:line="100" w:lineRule="atLeast"/>
        <w:jc w:val="both"/>
      </w:pPr>
      <w:r>
        <w:rPr/>
        <w:t>Œuvre :</w:t>
      </w:r>
    </w:p>
    <w:p>
      <w:pPr>
        <w:pStyle w:val="style0"/>
        <w:spacing w:after="0" w:before="0" w:line="100" w:lineRule="atLeast"/>
        <w:jc w:val="both"/>
      </w:pPr>
      <w:r>
        <w:rPr/>
        <w:t xml:space="preserve">James Joyce, </w:t>
      </w:r>
      <w:r>
        <w:rPr>
          <w:i/>
        </w:rPr>
        <w:t>Ulysse</w:t>
      </w:r>
      <w:r>
        <w:rPr/>
        <w:t>, nouvelle traduction sous la direction de Jacques Aubert, Paris, Gallimard [Folio classique], 2013</w:t>
      </w:r>
    </w:p>
    <w:p>
      <w:pPr>
        <w:pStyle w:val="style23"/>
        <w:numPr>
          <w:ilvl w:val="0"/>
          <w:numId w:val="2"/>
        </w:numPr>
        <w:spacing w:after="0" w:before="0" w:line="100" w:lineRule="atLeast"/>
        <w:jc w:val="both"/>
      </w:pPr>
      <w:r>
        <w:rPr/>
        <w:t>Figures royales, figures tragiques</w:t>
      </w:r>
    </w:p>
    <w:p>
      <w:pPr>
        <w:pStyle w:val="style0"/>
        <w:spacing w:after="0" w:before="0" w:line="100" w:lineRule="atLeast"/>
        <w:jc w:val="both"/>
      </w:pPr>
      <w:r>
        <w:rPr/>
        <w:t>Responsable : Catherine Dumas</w:t>
      </w:r>
    </w:p>
    <w:p>
      <w:pPr>
        <w:pStyle w:val="style0"/>
        <w:spacing w:after="0" w:before="0" w:line="100" w:lineRule="atLeast"/>
        <w:jc w:val="both"/>
      </w:pPr>
      <w:r>
        <w:rPr/>
        <w:t>Œuvres :</w:t>
      </w:r>
    </w:p>
    <w:p>
      <w:pPr>
        <w:pStyle w:val="style0"/>
        <w:spacing w:after="0" w:before="0" w:line="100" w:lineRule="atLeast"/>
        <w:jc w:val="both"/>
      </w:pPr>
      <w:r>
        <w:rPr/>
        <w:t xml:space="preserve">Shakespeare, </w:t>
      </w:r>
      <w:r>
        <w:rPr>
          <w:i/>
        </w:rPr>
        <w:t>Richard II</w:t>
      </w:r>
      <w:r>
        <w:rPr/>
        <w:t xml:space="preserve">, édition bilingue, trad. Jean-Michel Déprats, Folio théâtre </w:t>
      </w:r>
    </w:p>
    <w:p>
      <w:pPr>
        <w:pStyle w:val="style0"/>
        <w:spacing w:after="0" w:before="0" w:line="100" w:lineRule="atLeast"/>
        <w:jc w:val="both"/>
      </w:pPr>
      <w:r>
        <w:rPr/>
        <w:t xml:space="preserve">Shakespeare, </w:t>
      </w:r>
      <w:r>
        <w:rPr>
          <w:i/>
        </w:rPr>
        <w:t>Le Roi Lear</w:t>
      </w:r>
      <w:r>
        <w:rPr/>
        <w:t xml:space="preserve">, édition bilingue, trad. Armand Robin, Garnier-Flammarion </w:t>
      </w:r>
    </w:p>
    <w:p>
      <w:pPr>
        <w:pStyle w:val="style0"/>
        <w:spacing w:after="0" w:before="0" w:line="100" w:lineRule="atLeast"/>
        <w:jc w:val="both"/>
      </w:pPr>
      <w:r>
        <w:rPr/>
        <w:t xml:space="preserve">Racine, </w:t>
      </w:r>
      <w:r>
        <w:rPr>
          <w:i/>
        </w:rPr>
        <w:t>Mithridate</w:t>
      </w:r>
      <w:r>
        <w:rPr/>
        <w:t>, édition de Georges Forestier, Folio théâtre</w:t>
      </w:r>
    </w:p>
    <w:p>
      <w:pPr>
        <w:pStyle w:val="style0"/>
        <w:spacing w:after="0" w:before="0" w:line="100" w:lineRule="atLeast"/>
        <w:jc w:val="both"/>
      </w:pPr>
      <w:r>
        <w:rPr/>
        <w:t xml:space="preserve">Ionesco, </w:t>
      </w:r>
      <w:r>
        <w:rPr>
          <w:i/>
        </w:rPr>
        <w:t>Le Roi se meurt</w:t>
      </w:r>
      <w:r>
        <w:rPr/>
        <w:t>, Folio</w:t>
      </w:r>
    </w:p>
    <w:p>
      <w:pPr>
        <w:pStyle w:val="style23"/>
        <w:numPr>
          <w:ilvl w:val="0"/>
          <w:numId w:val="2"/>
        </w:numPr>
        <w:spacing w:after="0" w:before="0" w:line="100" w:lineRule="atLeast"/>
        <w:jc w:val="both"/>
      </w:pPr>
      <w:r>
        <w:rPr/>
        <w:t>Création poétique et perception politique</w:t>
      </w:r>
    </w:p>
    <w:p>
      <w:pPr>
        <w:pStyle w:val="style0"/>
        <w:spacing w:after="0" w:before="0" w:line="100" w:lineRule="atLeast"/>
        <w:jc w:val="both"/>
      </w:pPr>
      <w:r>
        <w:rPr/>
        <w:t>Responsable : Karl Zieger</w:t>
      </w:r>
    </w:p>
    <w:p>
      <w:pPr>
        <w:pStyle w:val="style0"/>
        <w:spacing w:after="0" w:before="0" w:line="100" w:lineRule="atLeast"/>
        <w:jc w:val="both"/>
      </w:pPr>
      <w:r>
        <w:rPr/>
        <w:t>Œuvres :</w:t>
      </w:r>
    </w:p>
    <w:p>
      <w:pPr>
        <w:pStyle w:val="style0"/>
        <w:spacing w:after="0" w:before="0" w:line="100" w:lineRule="atLeast"/>
        <w:jc w:val="both"/>
      </w:pPr>
      <w:r>
        <w:rPr/>
        <w:t xml:space="preserve">Octave Mirbeau, </w:t>
      </w:r>
      <w:r>
        <w:rPr>
          <w:i/>
        </w:rPr>
        <w:t xml:space="preserve">Le Journal d'une femme de chambre </w:t>
      </w:r>
      <w:r>
        <w:rPr/>
        <w:t xml:space="preserve">[1900], Gallimard, éd. Folio no. 1536 </w:t>
      </w:r>
    </w:p>
    <w:p>
      <w:pPr>
        <w:pStyle w:val="style0"/>
        <w:spacing w:after="0" w:before="0" w:line="100" w:lineRule="atLeast"/>
        <w:jc w:val="both"/>
      </w:pPr>
      <w:r>
        <w:rPr/>
        <w:t xml:space="preserve">Arthur Schnitzler, </w:t>
      </w:r>
      <w:r>
        <w:rPr>
          <w:i/>
        </w:rPr>
        <w:t>Vienne au crépuscule</w:t>
      </w:r>
      <w:r>
        <w:rPr/>
        <w:t xml:space="preserve"> [Der Weg ins Freie, 1908], traduit de l'allemand par Robert Dumont, Stock, 2002 (1985), coll. « Bibliothèque cosmopolite »</w:t>
      </w:r>
    </w:p>
    <w:p>
      <w:pPr>
        <w:pStyle w:val="style23"/>
        <w:numPr>
          <w:ilvl w:val="0"/>
          <w:numId w:val="2"/>
        </w:numPr>
        <w:spacing w:after="0" w:before="0" w:line="100" w:lineRule="atLeast"/>
        <w:jc w:val="both"/>
      </w:pPr>
      <w:r>
        <w:rPr/>
        <w:t>Poésie de la fin d’un monde</w:t>
      </w:r>
    </w:p>
    <w:p>
      <w:pPr>
        <w:pStyle w:val="style0"/>
        <w:spacing w:after="0" w:before="0" w:line="100" w:lineRule="atLeast"/>
        <w:jc w:val="both"/>
      </w:pPr>
      <w:r>
        <w:rPr/>
        <w:t>Responsable : Jessica Wilker</w:t>
      </w:r>
    </w:p>
    <w:p>
      <w:pPr>
        <w:pStyle w:val="style0"/>
        <w:spacing w:after="0" w:before="0" w:line="100" w:lineRule="atLeast"/>
        <w:jc w:val="both"/>
      </w:pPr>
      <w:r>
        <w:rPr/>
        <w:t xml:space="preserve">Œuvres : </w:t>
      </w:r>
    </w:p>
    <w:p>
      <w:pPr>
        <w:pStyle w:val="style0"/>
        <w:spacing w:after="0" w:before="0" w:line="100" w:lineRule="atLeast"/>
        <w:jc w:val="both"/>
      </w:pPr>
      <w:r>
        <w:rPr/>
        <w:t xml:space="preserve">T.S. Eliot, </w:t>
      </w:r>
      <w:r>
        <w:rPr>
          <w:i/>
        </w:rPr>
        <w:t>La Terre vaine</w:t>
      </w:r>
      <w:r>
        <w:rPr/>
        <w:t>, traduit par Pierre Leyris, éd. Points</w:t>
      </w:r>
    </w:p>
    <w:p>
      <w:pPr>
        <w:pStyle w:val="style0"/>
        <w:spacing w:after="0" w:before="0" w:line="100" w:lineRule="atLeast"/>
        <w:jc w:val="both"/>
      </w:pPr>
      <w:r>
        <w:rPr/>
        <w:t>Shakespeare</w:t>
      </w:r>
      <w:r>
        <w:rPr>
          <w:i/>
        </w:rPr>
        <w:t>,  The Tempest / La Tempête</w:t>
      </w:r>
      <w:r>
        <w:rPr/>
        <w:t>, traduction par Pierre Leyris, éd. Garnier Flammarion.</w:t>
      </w:r>
    </w:p>
    <w:p>
      <w:pPr>
        <w:pStyle w:val="style23"/>
        <w:numPr>
          <w:ilvl w:val="0"/>
          <w:numId w:val="2"/>
        </w:numPr>
        <w:spacing w:after="0" w:before="0" w:line="100" w:lineRule="atLeast"/>
        <w:jc w:val="both"/>
      </w:pPr>
      <w:r>
        <w:rPr/>
        <w:t>Illusions théâtrales et recherches dramaturgiques des années 20</w:t>
      </w:r>
    </w:p>
    <w:p>
      <w:pPr>
        <w:pStyle w:val="style0"/>
        <w:spacing w:after="0" w:before="0" w:line="100" w:lineRule="atLeast"/>
        <w:jc w:val="both"/>
      </w:pPr>
      <w:r>
        <w:rPr/>
        <w:t>Responsable : Karl Zieger</w:t>
      </w:r>
    </w:p>
    <w:p>
      <w:pPr>
        <w:pStyle w:val="style0"/>
        <w:spacing w:after="0" w:before="0" w:line="100" w:lineRule="atLeast"/>
        <w:jc w:val="both"/>
      </w:pPr>
      <w:r>
        <w:rPr/>
        <w:t>Œuvres :</w:t>
      </w:r>
    </w:p>
    <w:p>
      <w:pPr>
        <w:pStyle w:val="style0"/>
        <w:spacing w:after="0" w:before="0" w:line="100" w:lineRule="atLeast"/>
        <w:jc w:val="both"/>
      </w:pPr>
      <w:r>
        <w:rPr/>
        <w:t xml:space="preserve">Jean Anouilh, </w:t>
      </w:r>
      <w:r>
        <w:rPr>
          <w:i/>
        </w:rPr>
        <w:t>Le Voyageur sans bagage</w:t>
      </w:r>
      <w:r>
        <w:rPr/>
        <w:t xml:space="preserve"> [1937], GallimardFolio, 2014</w:t>
      </w:r>
    </w:p>
    <w:p>
      <w:pPr>
        <w:pStyle w:val="style0"/>
        <w:spacing w:after="0" w:before="0" w:line="100" w:lineRule="atLeast"/>
        <w:jc w:val="both"/>
      </w:pPr>
      <w:r>
        <w:rPr/>
        <w:t xml:space="preserve">Ödön von Horvath, </w:t>
      </w:r>
      <w:r>
        <w:rPr>
          <w:i/>
        </w:rPr>
        <w:t>Figaro divorce</w:t>
      </w:r>
      <w:r>
        <w:rPr/>
        <w:t xml:space="preserve"> [1937], Paris, L'Arche, 2008 (coll. « Scène ouverte ») </w:t>
      </w:r>
    </w:p>
    <w:p>
      <w:pPr>
        <w:pStyle w:val="style0"/>
        <w:spacing w:after="0" w:before="0" w:line="100" w:lineRule="atLeast"/>
        <w:jc w:val="both"/>
      </w:pPr>
      <w:r>
        <w:rPr/>
        <w:t xml:space="preserve">Luigi Pirandello, </w:t>
      </w:r>
      <w:r>
        <w:rPr>
          <w:i/>
        </w:rPr>
        <w:t>Six personnages en quête d'auteur</w:t>
      </w:r>
      <w:r>
        <w:rPr/>
        <w:t xml:space="preserve"> [1922], Flammarion, 2009 (coll. « Étonnants classiques ») </w:t>
      </w:r>
    </w:p>
    <w:p>
      <w:pPr>
        <w:pStyle w:val="style0"/>
        <w:spacing w:after="0" w:before="0" w:line="100" w:lineRule="atLeast"/>
        <w:jc w:val="both"/>
      </w:pPr>
      <w:r>
        <w:rPr/>
        <w:t xml:space="preserve">Roger Vitrac, </w:t>
      </w:r>
      <w:r>
        <w:rPr>
          <w:i/>
        </w:rPr>
        <w:t>Victor ou les enfants au pouvoir</w:t>
      </w:r>
      <w:r>
        <w:rPr/>
        <w:t xml:space="preserve"> [1928], Gallimard-Folio théâtre, 2000.</w:t>
      </w:r>
    </w:p>
    <w:p>
      <w:pPr>
        <w:pStyle w:val="style23"/>
        <w:numPr>
          <w:ilvl w:val="0"/>
          <w:numId w:val="2"/>
        </w:numPr>
        <w:spacing w:after="0" w:before="0" w:line="100" w:lineRule="atLeast"/>
        <w:jc w:val="both"/>
      </w:pPr>
      <w:r>
        <w:rPr/>
        <w:t>Romans d’apprentissage et d’initiation</w:t>
      </w:r>
    </w:p>
    <w:p>
      <w:pPr>
        <w:pStyle w:val="style0"/>
        <w:spacing w:after="0" w:before="0" w:line="100" w:lineRule="atLeast"/>
        <w:jc w:val="both"/>
      </w:pPr>
      <w:r>
        <w:rPr/>
        <w:t>Responsable : Fiona Mc Intosh</w:t>
      </w:r>
    </w:p>
    <w:p>
      <w:pPr>
        <w:pStyle w:val="style0"/>
        <w:spacing w:after="0" w:before="0" w:line="100" w:lineRule="atLeast"/>
        <w:jc w:val="both"/>
      </w:pPr>
      <w:r>
        <w:rPr/>
        <w:t>Œuvres :</w:t>
      </w:r>
    </w:p>
    <w:p>
      <w:pPr>
        <w:pStyle w:val="style0"/>
        <w:spacing w:after="0" w:before="0" w:line="100" w:lineRule="atLeast"/>
        <w:jc w:val="both"/>
      </w:pPr>
      <w:r>
        <w:rPr/>
        <w:t>Johann Wolfgang von Goethe</w:t>
      </w:r>
      <w:r>
        <w:rPr>
          <w:i/>
        </w:rPr>
        <w:t>, Les Années d'apprentissage de Wilhelm Meister</w:t>
      </w:r>
      <w:r>
        <w:rPr/>
        <w:t xml:space="preserve">, Bernard Lortholary dir., Blaise Briod trad., Gallimard, Folio, 2009 </w:t>
      </w:r>
    </w:p>
    <w:p>
      <w:pPr>
        <w:pStyle w:val="style0"/>
        <w:spacing w:after="0" w:before="0" w:line="100" w:lineRule="atLeast"/>
        <w:jc w:val="both"/>
      </w:pPr>
      <w:r>
        <w:rPr/>
        <w:t xml:space="preserve">Jean Potocki, </w:t>
      </w:r>
      <w:r>
        <w:rPr>
          <w:i/>
        </w:rPr>
        <w:t>Manuscrit trouvé à Saragosse</w:t>
      </w:r>
      <w:r>
        <w:rPr/>
        <w:t>, René Radrizzani dir., Le livre de Poche, 1999</w:t>
      </w:r>
    </w:p>
    <w:p>
      <w:pPr>
        <w:pStyle w:val="style23"/>
        <w:numPr>
          <w:ilvl w:val="0"/>
          <w:numId w:val="2"/>
        </w:numPr>
        <w:spacing w:after="0" w:before="0" w:line="100" w:lineRule="atLeast"/>
        <w:jc w:val="both"/>
      </w:pPr>
      <w:r>
        <w:rPr/>
        <w:t>Rimbaud et Trakl</w:t>
      </w:r>
    </w:p>
    <w:p>
      <w:pPr>
        <w:pStyle w:val="style0"/>
        <w:spacing w:after="0" w:before="0" w:line="100" w:lineRule="atLeast"/>
        <w:jc w:val="both"/>
      </w:pPr>
      <w:r>
        <w:rPr/>
        <w:t>Responsable : Alison Boulanger</w:t>
      </w:r>
    </w:p>
    <w:p>
      <w:pPr>
        <w:pStyle w:val="style0"/>
        <w:spacing w:after="0" w:before="0" w:line="100" w:lineRule="atLeast"/>
        <w:jc w:val="both"/>
      </w:pPr>
      <w:r>
        <w:rPr/>
        <w:t>Œuvres :</w:t>
      </w:r>
    </w:p>
    <w:p>
      <w:pPr>
        <w:pStyle w:val="style0"/>
        <w:spacing w:after="0" w:before="0" w:line="100" w:lineRule="atLeast"/>
        <w:jc w:val="both"/>
      </w:pPr>
      <w:r>
        <w:rPr/>
        <w:t xml:space="preserve">Rimbaud, </w:t>
      </w:r>
      <w:r>
        <w:rPr>
          <w:i/>
        </w:rPr>
        <w:t>Œuvres complètes</w:t>
      </w:r>
      <w:r>
        <w:rPr/>
        <w:t xml:space="preserve">, éd. de Jean-Luc Steinmetz, Garnier-Flammarion </w:t>
      </w:r>
    </w:p>
    <w:p>
      <w:pPr>
        <w:pStyle w:val="style0"/>
        <w:spacing w:after="0" w:before="0" w:line="100" w:lineRule="atLeast"/>
        <w:jc w:val="both"/>
      </w:pPr>
      <w:r>
        <w:rPr/>
        <w:t xml:space="preserve">Trakl, </w:t>
      </w:r>
      <w:r>
        <w:rPr>
          <w:i/>
        </w:rPr>
        <w:t>Vingt poèmes de Georg Trakl</w:t>
      </w:r>
      <w:r>
        <w:rPr/>
        <w:t>, traduits et présentés par Guillevic, édition bilingue, éd. Obsidiane</w:t>
      </w:r>
    </w:p>
    <w:p>
      <w:pPr>
        <w:pStyle w:val="style23"/>
        <w:numPr>
          <w:ilvl w:val="0"/>
          <w:numId w:val="2"/>
        </w:numPr>
        <w:spacing w:after="0" w:before="0" w:line="100" w:lineRule="atLeast"/>
        <w:jc w:val="both"/>
      </w:pPr>
      <w:r>
        <w:rPr/>
        <w:t>Le récit de la jalousie</w:t>
      </w:r>
    </w:p>
    <w:p>
      <w:pPr>
        <w:pStyle w:val="style0"/>
        <w:spacing w:after="0" w:before="0" w:line="100" w:lineRule="atLeast"/>
        <w:jc w:val="both"/>
      </w:pPr>
      <w:r>
        <w:rPr/>
        <w:t>Responsables : Catherine Dumas et Karl Zieger</w:t>
      </w:r>
    </w:p>
    <w:p>
      <w:pPr>
        <w:pStyle w:val="style0"/>
        <w:spacing w:after="0" w:before="0" w:line="100" w:lineRule="atLeast"/>
        <w:jc w:val="both"/>
      </w:pPr>
      <w:r>
        <w:rPr/>
        <w:t>Œuvres :</w:t>
      </w:r>
    </w:p>
    <w:p>
      <w:pPr>
        <w:pStyle w:val="style0"/>
        <w:spacing w:after="0" w:before="0" w:line="100" w:lineRule="atLeast"/>
        <w:jc w:val="both"/>
      </w:pPr>
      <w:r>
        <w:rPr/>
        <w:t xml:space="preserve">Ernesto Sabato, </w:t>
      </w:r>
      <w:r>
        <w:rPr>
          <w:i/>
        </w:rPr>
        <w:t>Le Tunnel</w:t>
      </w:r>
      <w:r>
        <w:rPr/>
        <w:t xml:space="preserve"> [1948], Points-Seuil, 1995 </w:t>
      </w:r>
    </w:p>
    <w:p>
      <w:pPr>
        <w:pStyle w:val="style0"/>
        <w:spacing w:after="0" w:before="0" w:line="100" w:lineRule="atLeast"/>
        <w:jc w:val="both"/>
      </w:pPr>
      <w:r>
        <w:rPr/>
        <w:t xml:space="preserve">Italo Svevo, </w:t>
      </w:r>
      <w:r>
        <w:rPr>
          <w:i/>
        </w:rPr>
        <w:t>Senilità</w:t>
      </w:r>
      <w:r>
        <w:rPr/>
        <w:t xml:space="preserve"> [1898], trad. de Daniele Del Giudice et Paul-Henri Michel, Points-Seuil, no. 290 (1996)</w:t>
      </w:r>
    </w:p>
    <w:p>
      <w:pPr>
        <w:pStyle w:val="style0"/>
        <w:spacing w:after="0" w:before="0" w:line="100" w:lineRule="atLeast"/>
        <w:jc w:val="both"/>
      </w:pPr>
      <w:r>
        <w:rPr/>
        <w:t xml:space="preserve">Arthur Schnitzler, </w:t>
      </w:r>
      <w:r>
        <w:rPr>
          <w:i/>
        </w:rPr>
        <w:t>La Nouvelle rêvée</w:t>
      </w:r>
      <w:r>
        <w:rPr/>
        <w:t xml:space="preserve"> [1925], trad. de Philippe Forget, Livre de poche, 2002, coll. « BiblioRomans », no. 3358</w:t>
      </w:r>
    </w:p>
    <w:p>
      <w:pPr>
        <w:pStyle w:val="style0"/>
        <w:spacing w:after="0" w:before="0" w:line="100" w:lineRule="atLeast"/>
        <w:jc w:val="both"/>
      </w:pPr>
      <w:r>
        <w:rPr/>
        <w:t xml:space="preserve">Edith Wharton, </w:t>
      </w:r>
      <w:r>
        <w:rPr>
          <w:i/>
        </w:rPr>
        <w:t>Ethan Frome</w:t>
      </w:r>
      <w:r>
        <w:rPr/>
        <w:t xml:space="preserve"> [1911], trad. de l'américain par Julie Wolkenstein, éd. P.O.L, 2014, coll. « Formatpoche »</w:t>
      </w:r>
    </w:p>
    <w:p>
      <w:pPr>
        <w:pStyle w:val="style0"/>
        <w:spacing w:after="0" w:before="0" w:line="100" w:lineRule="atLeast"/>
        <w:jc w:val="both"/>
      </w:pPr>
      <w:r>
        <w:rPr/>
      </w:r>
    </w:p>
    <w:p>
      <w:pPr>
        <w:pStyle w:val="style0"/>
        <w:spacing w:after="0" w:before="0" w:line="100" w:lineRule="atLeast"/>
        <w:jc w:val="both"/>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 w:name="Calibri">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20"/>
      <w:numFmt w:val="bullet"/>
      <w:lvlText w:val="-"/>
      <w:lvlJc w:val="left"/>
      <w:pPr>
        <w:ind w:hanging="360" w:left="720"/>
      </w:pPr>
      <w:rPr>
        <w:rFonts w:ascii="Calibri" w:cs="Calibri" w:hAnsi="Calibri"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Standard"/>
    <w:next w:val="style0"/>
    <w:pPr>
      <w:widowControl/>
      <w:tabs>
        <w:tab w:leader="none" w:pos="708" w:val="left"/>
      </w:tabs>
      <w:suppressAutoHyphens w:val="true"/>
      <w:spacing w:after="200" w:before="0" w:line="276" w:lineRule="auto"/>
    </w:pPr>
    <w:rPr>
      <w:rFonts w:ascii="Calibri" w:cs="Calibri" w:eastAsia="WenQuanYi Zen Hei" w:hAnsi="Calibri"/>
      <w:color w:val="auto"/>
      <w:sz w:val="22"/>
      <w:szCs w:val="22"/>
      <w:lang w:bidi="ar-SA" w:eastAsia="en-US" w:val="fr-FR"/>
    </w:rPr>
  </w:style>
  <w:style w:styleId="style1" w:type="paragraph">
    <w:name w:val="Titre 1"/>
    <w:basedOn w:val="style18"/>
    <w:next w:val="style19"/>
    <w:pPr>
      <w:numPr>
        <w:ilvl w:val="0"/>
        <w:numId w:val="1"/>
      </w:numPr>
      <w:outlineLvl w:val="0"/>
    </w:pPr>
    <w:rPr>
      <w:b/>
      <w:bCs/>
      <w:sz w:val="32"/>
      <w:szCs w:val="32"/>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Calibri"/>
    </w:rPr>
  </w:style>
  <w:style w:styleId="style18" w:type="paragraph">
    <w:name w:val="Titre"/>
    <w:basedOn w:val="style0"/>
    <w:next w:val="style19"/>
    <w:pPr>
      <w:keepNext/>
      <w:spacing w:after="120" w:before="240"/>
    </w:pPr>
    <w:rPr>
      <w:rFonts w:ascii="Arial" w:cs="Lohit Hindi" w:eastAsia="WenQuanYi Zen Hei" w:hAnsi="Arial"/>
      <w:sz w:val="28"/>
      <w:szCs w:val="28"/>
    </w:rPr>
  </w:style>
  <w:style w:styleId="style19" w:type="paragraph">
    <w:name w:val="Corps de texte"/>
    <w:basedOn w:val="style0"/>
    <w:next w:val="style19"/>
    <w:pPr>
      <w:spacing w:after="120" w:before="0"/>
    </w:pPr>
    <w:rPr/>
  </w:style>
  <w:style w:styleId="style20" w:type="paragraph">
    <w:name w:val="Liste"/>
    <w:basedOn w:val="style19"/>
    <w:next w:val="style20"/>
    <w:pPr/>
    <w:rPr>
      <w:rFonts w:cs="Lohit Hindi"/>
    </w:rPr>
  </w:style>
  <w:style w:styleId="style21" w:type="paragraph">
    <w:name w:val="Légende"/>
    <w:basedOn w:val="style0"/>
    <w:next w:val="style21"/>
    <w:pPr>
      <w:suppressLineNumbers/>
      <w:spacing w:after="120" w:before="120"/>
    </w:pPr>
    <w:rPr>
      <w:rFonts w:cs="Lohit Hindi"/>
      <w:i/>
      <w:iCs/>
      <w:sz w:val="24"/>
      <w:szCs w:val="24"/>
    </w:rPr>
  </w:style>
  <w:style w:styleId="style22" w:type="paragraph">
    <w:name w:val="Index"/>
    <w:basedOn w:val="style0"/>
    <w:next w:val="style22"/>
    <w:pPr>
      <w:suppressLineNumbers/>
    </w:pPr>
    <w:rPr>
      <w:rFonts w:cs="Lohit Hindi"/>
    </w:rPr>
  </w:style>
  <w:style w:styleId="style23" w:type="paragraph">
    <w:name w:val="List Paragraph"/>
    <w:basedOn w:val="style0"/>
    <w:next w:val="style23"/>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78</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2018-02-28T15:10:00.00Z</dcterms:created>
  <dc:creator>DELL</dc:creator>
  <cp:lastModifiedBy>DELL</cp:lastModifiedBy>
  <dcterms:modified xsi:type="dcterms:W3CDTF">2018-02-28T16:28:00.00Z</dcterms:modified>
  <cp:revision>1</cp:revision>
</cp:coreProperties>
</file>